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5DC" w:rsidRPr="00204AEE" w:rsidRDefault="000575DC">
      <w:pPr>
        <w:rPr>
          <w:b/>
          <w:noProof/>
          <w:sz w:val="28"/>
          <w:szCs w:val="28"/>
        </w:rPr>
      </w:pPr>
    </w:p>
    <w:tbl>
      <w:tblPr>
        <w:tblStyle w:val="Tabelraster"/>
        <w:tblW w:w="0" w:type="auto"/>
        <w:tblLook w:val="04A0" w:firstRow="1" w:lastRow="0" w:firstColumn="1" w:lastColumn="0" w:noHBand="0" w:noVBand="1"/>
      </w:tblPr>
      <w:tblGrid>
        <w:gridCol w:w="9072"/>
      </w:tblGrid>
      <w:tr w:rsidR="00204AEE" w:rsidTr="00204AEE">
        <w:tc>
          <w:tcPr>
            <w:tcW w:w="9212" w:type="dxa"/>
            <w:tcBorders>
              <w:top w:val="nil"/>
              <w:left w:val="nil"/>
              <w:bottom w:val="nil"/>
              <w:right w:val="nil"/>
            </w:tcBorders>
            <w:shd w:val="clear" w:color="auto" w:fill="4F6228" w:themeFill="accent3" w:themeFillShade="80"/>
          </w:tcPr>
          <w:p w:rsidR="00204AEE" w:rsidRPr="00204AEE" w:rsidRDefault="00204AEE">
            <w:pPr>
              <w:rPr>
                <w:b/>
                <w:noProof/>
                <w:color w:val="FFFFFF" w:themeColor="background1"/>
                <w:sz w:val="16"/>
                <w:szCs w:val="16"/>
              </w:rPr>
            </w:pPr>
          </w:p>
          <w:p w:rsidR="00204AEE" w:rsidRPr="00204AEE" w:rsidRDefault="00204AEE" w:rsidP="00204AEE">
            <w:pPr>
              <w:jc w:val="center"/>
              <w:rPr>
                <w:b/>
                <w:noProof/>
                <w:color w:val="FFFFFF" w:themeColor="background1"/>
                <w:sz w:val="16"/>
                <w:szCs w:val="16"/>
              </w:rPr>
            </w:pPr>
            <w:r>
              <w:rPr>
                <w:b/>
                <w:bCs/>
                <w:noProof/>
                <w:color w:val="FFFFFF" w:themeColor="background1"/>
                <w:sz w:val="28"/>
                <w:szCs w:val="28"/>
                <w:lang w:val="fr-BE"/>
              </w:rPr>
              <w:t>Autodéclaration de conformité des produits</w:t>
            </w:r>
          </w:p>
          <w:p w:rsidR="00204AEE" w:rsidRPr="00204AEE" w:rsidRDefault="00204AEE">
            <w:pPr>
              <w:rPr>
                <w:rFonts w:asciiTheme="minorHAnsi" w:hAnsiTheme="minorHAnsi"/>
                <w:noProof/>
                <w:sz w:val="16"/>
                <w:szCs w:val="16"/>
              </w:rPr>
            </w:pPr>
          </w:p>
        </w:tc>
      </w:tr>
    </w:tbl>
    <w:p w:rsidR="000575DC" w:rsidRDefault="000575DC" w:rsidP="00DA2694">
      <w:pPr>
        <w:spacing w:after="160"/>
        <w:rPr>
          <w:rFonts w:asciiTheme="minorHAnsi" w:hAnsiTheme="minorHAnsi"/>
          <w:noProof/>
          <w:sz w:val="24"/>
          <w:szCs w:val="24"/>
        </w:rPr>
      </w:pPr>
    </w:p>
    <w:p w:rsidR="000575DC" w:rsidRPr="00C962F0" w:rsidRDefault="000575DC" w:rsidP="00DA2694">
      <w:pPr>
        <w:spacing w:after="160"/>
        <w:rPr>
          <w:rFonts w:ascii="Arial" w:hAnsi="Arial" w:cs="Arial"/>
          <w:noProof/>
          <w:sz w:val="20"/>
          <w:szCs w:val="20"/>
        </w:rPr>
      </w:pPr>
      <w:r>
        <w:rPr>
          <w:rFonts w:ascii="Arial" w:hAnsi="Arial" w:cs="Arial"/>
          <w:noProof/>
          <w:sz w:val="20"/>
          <w:szCs w:val="20"/>
          <w:lang w:val="fr-BE"/>
        </w:rPr>
        <w:t>Cette autodéclaration est émise dans le cadre de l'agrément de Duurzaam Repareren en ce qui concerne l'utilisation des produits (exigence générique 4).</w:t>
      </w:r>
    </w:p>
    <w:p w:rsidR="00C962F0" w:rsidRPr="00C962F0" w:rsidRDefault="00C962F0" w:rsidP="00DA2694">
      <w:pPr>
        <w:spacing w:after="160"/>
        <w:rPr>
          <w:rFonts w:ascii="Arial" w:hAnsi="Arial" w:cs="Arial"/>
          <w:noProof/>
          <w:sz w:val="20"/>
          <w:szCs w:val="20"/>
        </w:rPr>
      </w:pPr>
      <w:r>
        <w:rPr>
          <w:rFonts w:ascii="Arial" w:hAnsi="Arial" w:cs="Arial"/>
          <w:noProof/>
          <w:sz w:val="20"/>
          <w:szCs w:val="20"/>
          <w:lang w:val="fr-BE"/>
        </w:rPr>
        <w:t>L'entrepreneur déc</w:t>
      </w:r>
      <w:bookmarkStart w:id="0" w:name="_GoBack"/>
      <w:bookmarkEnd w:id="0"/>
      <w:r>
        <w:rPr>
          <w:rFonts w:ascii="Arial" w:hAnsi="Arial" w:cs="Arial"/>
          <w:noProof/>
          <w:sz w:val="20"/>
          <w:szCs w:val="20"/>
          <w:lang w:val="fr-BE"/>
        </w:rPr>
        <w:t>lare n'utiliser que des produits qui satisfont aux prescriptions :</w:t>
      </w:r>
    </w:p>
    <w:p w:rsidR="00C962F0" w:rsidRDefault="00C962F0" w:rsidP="00DA2694">
      <w:pPr>
        <w:spacing w:after="160" w:line="276" w:lineRule="auto"/>
        <w:rPr>
          <w:rFonts w:ascii="Arial" w:eastAsia="Calibri" w:hAnsi="Arial" w:cs="Arial"/>
          <w:noProof/>
          <w:sz w:val="20"/>
          <w:szCs w:val="20"/>
        </w:rPr>
      </w:pPr>
      <w:r>
        <w:rPr>
          <w:rFonts w:ascii="Arial" w:eastAsia="Calibri" w:hAnsi="Arial" w:cs="Arial"/>
          <w:noProof/>
          <w:sz w:val="20"/>
          <w:szCs w:val="20"/>
          <w:lang w:val="fr-BE"/>
        </w:rPr>
        <w:t xml:space="preserve">Les spécifications des produits reflètent les directives européennes que sont le Règlement CE 1272/2008 (CLP) et le Règlement REACH CE 1907/2006, les SVHC (substances extrêmement préoccupantes) de l'ECHA et la liste SIN (recensement de toutes les substances qui doivent être remplacées, selon l'indication d'ONG).  </w:t>
      </w:r>
    </w:p>
    <w:p w:rsidR="00C962F0" w:rsidRPr="00C962F0" w:rsidRDefault="00C962F0" w:rsidP="00DA2694">
      <w:pPr>
        <w:spacing w:after="160" w:line="276" w:lineRule="auto"/>
        <w:rPr>
          <w:rFonts w:ascii="Arial" w:eastAsia="Calibri" w:hAnsi="Arial" w:cs="Arial"/>
          <w:noProof/>
          <w:sz w:val="20"/>
          <w:szCs w:val="20"/>
        </w:rPr>
      </w:pPr>
      <w:r>
        <w:rPr>
          <w:rFonts w:ascii="Arial" w:eastAsia="Calibri" w:hAnsi="Arial" w:cs="Arial"/>
          <w:noProof/>
          <w:sz w:val="20"/>
          <w:szCs w:val="20"/>
          <w:lang w:val="fr-BE"/>
        </w:rPr>
        <w:t xml:space="preserve">Cette directive européenne autorise des substances qui sont moins respectueuses de l'environnement pour autant que les équipements de protection individuelle corrects soient utilisés, tels que REACH les prescrit. La mesure des conditions est valable si elle est effectuée sur le mélange final et non sur les composants pris séparément. </w:t>
      </w:r>
    </w:p>
    <w:p w:rsidR="00C962F0" w:rsidRPr="00C962F0" w:rsidRDefault="00C962F0" w:rsidP="00DA2694">
      <w:pPr>
        <w:spacing w:after="160" w:line="276" w:lineRule="auto"/>
        <w:rPr>
          <w:rFonts w:ascii="Arial" w:eastAsia="Calibri" w:hAnsi="Arial" w:cs="Arial"/>
          <w:noProof/>
          <w:sz w:val="20"/>
          <w:szCs w:val="20"/>
        </w:rPr>
      </w:pPr>
      <w:r>
        <w:rPr>
          <w:rFonts w:ascii="Arial" w:eastAsia="Calibri" w:hAnsi="Arial" w:cs="Arial"/>
          <w:noProof/>
          <w:sz w:val="20"/>
          <w:szCs w:val="20"/>
          <w:lang w:val="fr-BE"/>
        </w:rPr>
        <w:t xml:space="preserve">En général, ce sont les produits qui satisfont à l'énumération suivante en ce qui concerne la nocivité pour l'homme et pour l'environnement : </w:t>
      </w:r>
    </w:p>
    <w:p w:rsidR="00C962F0" w:rsidRPr="00C962F0" w:rsidRDefault="00C962F0" w:rsidP="00DA2694">
      <w:pPr>
        <w:numPr>
          <w:ilvl w:val="0"/>
          <w:numId w:val="3"/>
        </w:numPr>
        <w:spacing w:after="160" w:line="276" w:lineRule="auto"/>
        <w:contextualSpacing/>
        <w:rPr>
          <w:rFonts w:ascii="Arial" w:eastAsia="Calibri" w:hAnsi="Arial" w:cs="Arial"/>
          <w:b/>
          <w:noProof/>
          <w:color w:val="4F6228" w:themeColor="accent3" w:themeShade="80"/>
          <w:sz w:val="20"/>
          <w:szCs w:val="20"/>
        </w:rPr>
      </w:pPr>
      <w:r>
        <w:rPr>
          <w:rFonts w:ascii="Arial" w:eastAsia="Calibri" w:hAnsi="Arial" w:cs="Arial"/>
          <w:b/>
          <w:bCs/>
          <w:noProof/>
          <w:color w:val="4F6228" w:themeColor="accent3" w:themeShade="80"/>
          <w:sz w:val="20"/>
          <w:szCs w:val="20"/>
          <w:lang w:val="fr-BE"/>
        </w:rPr>
        <w:t>Danger des mélanges pour l'environnement et la santé conformément aux directives CLP et REACH ;</w:t>
      </w:r>
    </w:p>
    <w:p w:rsidR="00C962F0" w:rsidRPr="00C962F0" w:rsidRDefault="00C962F0" w:rsidP="00DA2694">
      <w:pPr>
        <w:numPr>
          <w:ilvl w:val="0"/>
          <w:numId w:val="3"/>
        </w:numPr>
        <w:spacing w:after="160" w:line="276" w:lineRule="auto"/>
        <w:contextualSpacing/>
        <w:rPr>
          <w:rFonts w:ascii="Arial" w:eastAsia="Calibri" w:hAnsi="Arial" w:cs="Arial"/>
          <w:b/>
          <w:noProof/>
          <w:color w:val="4F6228" w:themeColor="accent3" w:themeShade="80"/>
          <w:sz w:val="20"/>
          <w:szCs w:val="20"/>
        </w:rPr>
      </w:pPr>
      <w:r>
        <w:rPr>
          <w:rFonts w:ascii="Arial" w:eastAsia="Calibri" w:hAnsi="Arial" w:cs="Arial"/>
          <w:b/>
          <w:bCs/>
          <w:noProof/>
          <w:color w:val="4F6228" w:themeColor="accent3" w:themeShade="80"/>
          <w:sz w:val="20"/>
          <w:szCs w:val="20"/>
          <w:lang w:val="fr-BE"/>
        </w:rPr>
        <w:t xml:space="preserve">Danger pour la santé d'ingrédients dont on estime que le mélange dans son ensemble est aussi dangereux pour la santé ; </w:t>
      </w:r>
    </w:p>
    <w:p w:rsidR="00C962F0" w:rsidRPr="00C962F0" w:rsidRDefault="00C962F0" w:rsidP="00DA2694">
      <w:pPr>
        <w:numPr>
          <w:ilvl w:val="0"/>
          <w:numId w:val="3"/>
        </w:numPr>
        <w:spacing w:after="160" w:line="276" w:lineRule="auto"/>
        <w:contextualSpacing/>
        <w:rPr>
          <w:rFonts w:ascii="Arial" w:eastAsia="Calibri" w:hAnsi="Arial" w:cs="Arial"/>
          <w:b/>
          <w:noProof/>
          <w:color w:val="4F6228" w:themeColor="accent3" w:themeShade="80"/>
          <w:sz w:val="20"/>
          <w:szCs w:val="20"/>
        </w:rPr>
      </w:pPr>
      <w:r>
        <w:rPr>
          <w:rFonts w:ascii="Arial" w:eastAsia="Calibri" w:hAnsi="Arial" w:cs="Arial"/>
          <w:b/>
          <w:bCs/>
          <w:noProof/>
          <w:color w:val="4F6228" w:themeColor="accent3" w:themeShade="80"/>
          <w:sz w:val="20"/>
          <w:szCs w:val="20"/>
          <w:lang w:val="fr-BE"/>
        </w:rPr>
        <w:t>Danger pour l'environnement d'ingrédients dont on estime que le mélange dans son ensemble est aussi dangereux pour l'environnement ;</w:t>
      </w:r>
    </w:p>
    <w:p w:rsidR="00C962F0" w:rsidRPr="00C962F0" w:rsidRDefault="00C962F0" w:rsidP="00DA2694">
      <w:pPr>
        <w:numPr>
          <w:ilvl w:val="0"/>
          <w:numId w:val="3"/>
        </w:numPr>
        <w:spacing w:after="160" w:line="276" w:lineRule="auto"/>
        <w:contextualSpacing/>
        <w:rPr>
          <w:rFonts w:ascii="Arial" w:eastAsia="Calibri" w:hAnsi="Arial" w:cs="Arial"/>
          <w:b/>
          <w:noProof/>
          <w:color w:val="4F6228" w:themeColor="accent3" w:themeShade="80"/>
          <w:sz w:val="20"/>
          <w:szCs w:val="20"/>
        </w:rPr>
      </w:pPr>
      <w:r>
        <w:rPr>
          <w:rFonts w:ascii="Arial" w:eastAsia="Calibri" w:hAnsi="Arial" w:cs="Arial"/>
          <w:b/>
          <w:bCs/>
          <w:noProof/>
          <w:color w:val="4F6228" w:themeColor="accent3" w:themeShade="80"/>
          <w:sz w:val="20"/>
          <w:szCs w:val="20"/>
          <w:lang w:val="fr-BE"/>
        </w:rPr>
        <w:t>Législation générale.</w:t>
      </w:r>
    </w:p>
    <w:p w:rsidR="00C962F0" w:rsidRPr="00C962F0" w:rsidRDefault="00C962F0" w:rsidP="00DA2694">
      <w:pPr>
        <w:spacing w:after="160" w:line="276" w:lineRule="auto"/>
        <w:ind w:left="360"/>
        <w:contextualSpacing/>
        <w:rPr>
          <w:rFonts w:ascii="Arial" w:eastAsia="Calibri" w:hAnsi="Arial" w:cs="Arial"/>
          <w:noProof/>
          <w:color w:val="4F6228" w:themeColor="accent3" w:themeShade="80"/>
          <w:sz w:val="20"/>
          <w:szCs w:val="20"/>
        </w:rPr>
      </w:pPr>
    </w:p>
    <w:p w:rsidR="000575DC" w:rsidRPr="00C962F0" w:rsidRDefault="000575DC" w:rsidP="00DA2694">
      <w:pPr>
        <w:spacing w:after="160"/>
        <w:rPr>
          <w:rFonts w:ascii="Arial" w:hAnsi="Arial" w:cs="Arial"/>
          <w:noProof/>
          <w:sz w:val="20"/>
          <w:szCs w:val="20"/>
        </w:rPr>
      </w:pPr>
      <w:r>
        <w:rPr>
          <w:rFonts w:ascii="Arial" w:hAnsi="Arial" w:cs="Arial"/>
          <w:noProof/>
          <w:sz w:val="20"/>
          <w:szCs w:val="20"/>
          <w:lang w:val="fr-BE"/>
        </w:rPr>
        <w:t>Par ailleurs, l'entrepreneur utilise des produits qui sont respectueux de l'environnement conformément aux directives reprises dans l'Ensemble d'exigences de Duurzaam Repareren.</w:t>
      </w:r>
    </w:p>
    <w:p w:rsidR="000575DC" w:rsidRPr="00C962F0" w:rsidRDefault="000575DC" w:rsidP="00DA2694">
      <w:pPr>
        <w:spacing w:after="160"/>
        <w:rPr>
          <w:rFonts w:ascii="Arial" w:hAnsi="Arial" w:cs="Arial"/>
          <w:noProof/>
          <w:sz w:val="20"/>
          <w:szCs w:val="20"/>
        </w:rPr>
      </w:pPr>
      <w:r>
        <w:rPr>
          <w:rFonts w:ascii="Arial" w:hAnsi="Arial" w:cs="Arial"/>
          <w:noProof/>
          <w:sz w:val="20"/>
          <w:szCs w:val="20"/>
          <w:lang w:val="fr-BE"/>
        </w:rPr>
        <w:t>Il n'est dérogé à cette règle que lorsque :</w:t>
      </w:r>
    </w:p>
    <w:p w:rsidR="00BF2361" w:rsidRPr="00C962F0" w:rsidRDefault="00BF2361" w:rsidP="00DA2694">
      <w:pPr>
        <w:pStyle w:val="Lijstalinea"/>
        <w:numPr>
          <w:ilvl w:val="0"/>
          <w:numId w:val="2"/>
        </w:numPr>
        <w:spacing w:after="160"/>
        <w:rPr>
          <w:rFonts w:ascii="Arial" w:hAnsi="Arial" w:cs="Arial"/>
          <w:b/>
          <w:noProof/>
          <w:color w:val="4F6228" w:themeColor="accent3" w:themeShade="80"/>
          <w:sz w:val="20"/>
          <w:szCs w:val="20"/>
        </w:rPr>
      </w:pPr>
      <w:r>
        <w:rPr>
          <w:rFonts w:ascii="Arial" w:hAnsi="Arial" w:cs="Arial"/>
          <w:b/>
          <w:bCs/>
          <w:noProof/>
          <w:color w:val="4F6228" w:themeColor="accent3" w:themeShade="80"/>
          <w:sz w:val="20"/>
          <w:szCs w:val="20"/>
          <w:lang w:val="fr-BE"/>
        </w:rPr>
        <w:t>Une alternative respectueuse de l'environnement n'est pas disponible ;</w:t>
      </w:r>
    </w:p>
    <w:p w:rsidR="00BF2361" w:rsidRPr="00C962F0" w:rsidRDefault="00BF2361" w:rsidP="00DA2694">
      <w:pPr>
        <w:pStyle w:val="Lijstalinea"/>
        <w:numPr>
          <w:ilvl w:val="0"/>
          <w:numId w:val="2"/>
        </w:numPr>
        <w:spacing w:after="160"/>
        <w:rPr>
          <w:rFonts w:ascii="Arial" w:hAnsi="Arial" w:cs="Arial"/>
          <w:b/>
          <w:noProof/>
          <w:color w:val="4F6228" w:themeColor="accent3" w:themeShade="80"/>
          <w:sz w:val="20"/>
          <w:szCs w:val="20"/>
        </w:rPr>
      </w:pPr>
      <w:r>
        <w:rPr>
          <w:rFonts w:ascii="Arial" w:hAnsi="Arial" w:cs="Arial"/>
          <w:b/>
          <w:bCs/>
          <w:noProof/>
          <w:color w:val="4F6228" w:themeColor="accent3" w:themeShade="80"/>
          <w:sz w:val="20"/>
          <w:szCs w:val="20"/>
          <w:lang w:val="fr-BE"/>
        </w:rPr>
        <w:t>L'utilisation d'une alternative respectueuse de l'environnement entraîne une hausse significative des coûts ;</w:t>
      </w:r>
    </w:p>
    <w:p w:rsidR="000575DC" w:rsidRPr="00C962F0" w:rsidRDefault="00204AEE" w:rsidP="00DA2694">
      <w:pPr>
        <w:pStyle w:val="Lijstalinea"/>
        <w:numPr>
          <w:ilvl w:val="0"/>
          <w:numId w:val="2"/>
        </w:numPr>
        <w:spacing w:after="160"/>
        <w:rPr>
          <w:rFonts w:ascii="Arial" w:hAnsi="Arial" w:cs="Arial"/>
          <w:b/>
          <w:noProof/>
          <w:color w:val="4F6228" w:themeColor="accent3" w:themeShade="80"/>
          <w:sz w:val="20"/>
          <w:szCs w:val="20"/>
        </w:rPr>
      </w:pPr>
      <w:r>
        <w:rPr>
          <w:rFonts w:ascii="Arial" w:hAnsi="Arial" w:cs="Arial"/>
          <w:b/>
          <w:bCs/>
          <w:noProof/>
          <w:color w:val="4F6228" w:themeColor="accent3" w:themeShade="80"/>
          <w:sz w:val="20"/>
          <w:szCs w:val="20"/>
          <w:lang w:val="fr-BE"/>
        </w:rPr>
        <w:t>La réparation perd visiblement en qualité ;</w:t>
      </w:r>
    </w:p>
    <w:p w:rsidR="00204AEE" w:rsidRPr="00C962F0" w:rsidRDefault="00204AEE" w:rsidP="00DA2694">
      <w:pPr>
        <w:pStyle w:val="Lijstalinea"/>
        <w:numPr>
          <w:ilvl w:val="0"/>
          <w:numId w:val="2"/>
        </w:numPr>
        <w:spacing w:after="160"/>
        <w:rPr>
          <w:rFonts w:ascii="Arial" w:hAnsi="Arial" w:cs="Arial"/>
          <w:b/>
          <w:noProof/>
          <w:color w:val="4F6228" w:themeColor="accent3" w:themeShade="80"/>
          <w:sz w:val="20"/>
          <w:szCs w:val="20"/>
        </w:rPr>
      </w:pPr>
      <w:r>
        <w:rPr>
          <w:rFonts w:ascii="Arial" w:hAnsi="Arial" w:cs="Arial"/>
          <w:b/>
          <w:bCs/>
          <w:noProof/>
          <w:color w:val="4F6228" w:themeColor="accent3" w:themeShade="80"/>
          <w:sz w:val="20"/>
          <w:szCs w:val="20"/>
          <w:lang w:val="fr-BE"/>
        </w:rPr>
        <w:t>La sécurité routière est mise en danger ;</w:t>
      </w:r>
    </w:p>
    <w:p w:rsidR="00204AEE" w:rsidRPr="00C962F0" w:rsidRDefault="00204AEE" w:rsidP="00DA2694">
      <w:pPr>
        <w:pStyle w:val="Lijstalinea"/>
        <w:numPr>
          <w:ilvl w:val="0"/>
          <w:numId w:val="2"/>
        </w:numPr>
        <w:spacing w:after="160"/>
        <w:rPr>
          <w:rFonts w:ascii="Arial" w:hAnsi="Arial" w:cs="Arial"/>
          <w:b/>
          <w:noProof/>
          <w:color w:val="4F6228" w:themeColor="accent3" w:themeShade="80"/>
          <w:sz w:val="20"/>
          <w:szCs w:val="20"/>
        </w:rPr>
      </w:pPr>
      <w:r>
        <w:rPr>
          <w:rFonts w:ascii="Arial" w:hAnsi="Arial" w:cs="Arial"/>
          <w:b/>
          <w:bCs/>
          <w:noProof/>
          <w:color w:val="4F6228" w:themeColor="accent3" w:themeShade="80"/>
          <w:sz w:val="20"/>
          <w:szCs w:val="20"/>
          <w:lang w:val="fr-BE"/>
        </w:rPr>
        <w:t>Les garanties (fabricant) sont mises en danger.</w:t>
      </w:r>
    </w:p>
    <w:p w:rsidR="00DA2694" w:rsidRDefault="00BF2361" w:rsidP="00DA2694">
      <w:pPr>
        <w:spacing w:after="360"/>
        <w:rPr>
          <w:rFonts w:ascii="Arial" w:hAnsi="Arial" w:cs="Arial"/>
          <w:noProof/>
          <w:sz w:val="20"/>
          <w:szCs w:val="20"/>
        </w:rPr>
      </w:pPr>
      <w:r>
        <w:rPr>
          <w:rFonts w:ascii="Arial" w:hAnsi="Arial" w:cs="Arial"/>
          <w:noProof/>
          <w:sz w:val="20"/>
          <w:szCs w:val="20"/>
          <w:lang w:val="fr-BE"/>
        </w:rPr>
        <w:t>Les stocks de produits indésirables peuvent être terminés, dans un délai maximum d'un an.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2228"/>
        <w:gridCol w:w="1885"/>
        <w:gridCol w:w="3020"/>
      </w:tblGrid>
      <w:tr w:rsidR="00D561FF" w:rsidTr="00D561FF">
        <w:tc>
          <w:tcPr>
            <w:tcW w:w="19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D561FF" w:rsidRPr="00D561FF" w:rsidRDefault="00D561FF" w:rsidP="000575DC">
            <w:pPr>
              <w:rPr>
                <w:rFonts w:asciiTheme="minorHAnsi" w:hAnsiTheme="minorHAnsi" w:cs="Arial"/>
                <w:noProof/>
                <w:color w:val="FFFFFF" w:themeColor="background1"/>
                <w:sz w:val="24"/>
                <w:szCs w:val="24"/>
              </w:rPr>
            </w:pPr>
            <w:r>
              <w:rPr>
                <w:rFonts w:asciiTheme="minorHAnsi" w:hAnsiTheme="minorHAnsi" w:cs="Arial"/>
                <w:noProof/>
                <w:color w:val="FFFFFF" w:themeColor="background1"/>
                <w:sz w:val="24"/>
                <w:szCs w:val="24"/>
                <w:lang w:val="fr-BE"/>
              </w:rPr>
              <w:t>Certifié à</w:t>
            </w:r>
          </w:p>
        </w:tc>
        <w:tc>
          <w:tcPr>
            <w:tcW w:w="4190"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tcPr>
          <w:p w:rsidR="00D561FF" w:rsidRPr="00D561FF" w:rsidRDefault="00D561FF" w:rsidP="000575DC">
            <w:pPr>
              <w:rPr>
                <w:rFonts w:asciiTheme="minorHAnsi" w:hAnsiTheme="minorHAnsi" w:cs="Arial"/>
                <w:noProof/>
                <w:color w:val="FFFFFF" w:themeColor="background1"/>
                <w:sz w:val="24"/>
                <w:szCs w:val="24"/>
              </w:rPr>
            </w:pPr>
          </w:p>
        </w:tc>
        <w:tc>
          <w:tcPr>
            <w:tcW w:w="307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tcPr>
          <w:p w:rsidR="00D561FF" w:rsidRPr="00D561FF" w:rsidRDefault="00D561FF" w:rsidP="000575DC">
            <w:pPr>
              <w:rPr>
                <w:rFonts w:asciiTheme="minorHAnsi" w:hAnsiTheme="minorHAnsi" w:cs="Arial"/>
                <w:noProof/>
                <w:color w:val="FFFFFF" w:themeColor="background1"/>
                <w:sz w:val="24"/>
                <w:szCs w:val="24"/>
              </w:rPr>
            </w:pPr>
          </w:p>
        </w:tc>
      </w:tr>
      <w:tr w:rsidR="00D561FF" w:rsidTr="00D561FF">
        <w:tc>
          <w:tcPr>
            <w:tcW w:w="19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D561FF" w:rsidRPr="00D561FF" w:rsidRDefault="00D561FF" w:rsidP="000575DC">
            <w:pPr>
              <w:rPr>
                <w:rFonts w:asciiTheme="minorHAnsi" w:hAnsiTheme="minorHAnsi" w:cs="Arial"/>
                <w:noProof/>
                <w:color w:val="FFFFFF" w:themeColor="background1"/>
                <w:sz w:val="24"/>
                <w:szCs w:val="24"/>
              </w:rPr>
            </w:pPr>
          </w:p>
        </w:tc>
        <w:tc>
          <w:tcPr>
            <w:tcW w:w="4190" w:type="dxa"/>
            <w:gridSpan w:val="2"/>
            <w:tcBorders>
              <w:top w:val="single" w:sz="4" w:space="0" w:color="4F6228" w:themeColor="accent3" w:themeShade="80"/>
              <w:left w:val="single" w:sz="4" w:space="0" w:color="4F6228" w:themeColor="accent3" w:themeShade="80"/>
            </w:tcBorders>
            <w:shd w:val="clear" w:color="auto" w:fill="4F6228" w:themeFill="accent3" w:themeFillShade="80"/>
          </w:tcPr>
          <w:p w:rsidR="00D561FF" w:rsidRPr="00D561FF" w:rsidRDefault="00D561FF" w:rsidP="00D561FF">
            <w:pPr>
              <w:rPr>
                <w:rFonts w:asciiTheme="minorHAnsi" w:hAnsiTheme="minorHAnsi" w:cs="Arial"/>
                <w:noProof/>
                <w:color w:val="FFFFFF" w:themeColor="background1"/>
                <w:sz w:val="24"/>
                <w:szCs w:val="24"/>
              </w:rPr>
            </w:pPr>
            <w:r>
              <w:rPr>
                <w:rFonts w:asciiTheme="minorHAnsi" w:hAnsiTheme="minorHAnsi" w:cs="Arial"/>
                <w:noProof/>
                <w:color w:val="FFFFFF" w:themeColor="background1"/>
                <w:sz w:val="16"/>
                <w:szCs w:val="16"/>
                <w:lang w:val="fr-BE"/>
              </w:rPr>
              <w:t>(lieu)</w:t>
            </w:r>
            <w:r>
              <w:rPr>
                <w:rFonts w:asciiTheme="minorHAnsi" w:hAnsiTheme="minorHAnsi" w:cs="Arial"/>
                <w:noProof/>
                <w:color w:val="FFFFFF" w:themeColor="background1"/>
                <w:sz w:val="24"/>
                <w:szCs w:val="24"/>
                <w:lang w:val="fr-BE"/>
              </w:rPr>
              <w:t xml:space="preserve">, le                       </w:t>
            </w:r>
          </w:p>
        </w:tc>
        <w:tc>
          <w:tcPr>
            <w:tcW w:w="3071" w:type="dxa"/>
            <w:tcBorders>
              <w:top w:val="single" w:sz="4" w:space="0" w:color="4F6228" w:themeColor="accent3" w:themeShade="80"/>
            </w:tcBorders>
            <w:shd w:val="clear" w:color="auto" w:fill="4F6228" w:themeFill="accent3" w:themeFillShade="80"/>
          </w:tcPr>
          <w:p w:rsidR="00D561FF" w:rsidRPr="00D561FF" w:rsidRDefault="00D561FF" w:rsidP="00D561FF">
            <w:pPr>
              <w:rPr>
                <w:rFonts w:asciiTheme="minorHAnsi" w:hAnsiTheme="minorHAnsi" w:cs="Arial"/>
                <w:noProof/>
                <w:color w:val="FFFFFF" w:themeColor="background1"/>
                <w:sz w:val="24"/>
                <w:szCs w:val="24"/>
              </w:rPr>
            </w:pPr>
            <w:r>
              <w:rPr>
                <w:rFonts w:asciiTheme="minorHAnsi" w:hAnsiTheme="minorHAnsi" w:cs="Arial"/>
                <w:noProof/>
                <w:color w:val="FFFFFF" w:themeColor="background1"/>
                <w:sz w:val="16"/>
                <w:szCs w:val="16"/>
                <w:lang w:val="fr-BE"/>
              </w:rPr>
              <w:t>(date)</w:t>
            </w:r>
            <w:r>
              <w:rPr>
                <w:rFonts w:asciiTheme="minorHAnsi" w:hAnsiTheme="minorHAnsi" w:cs="Arial"/>
                <w:noProof/>
                <w:color w:val="FFFFFF" w:themeColor="background1"/>
                <w:sz w:val="24"/>
                <w:szCs w:val="24"/>
                <w:lang w:val="fr-BE"/>
              </w:rPr>
              <w:t xml:space="preserve">, </w:t>
            </w:r>
          </w:p>
        </w:tc>
      </w:tr>
      <w:tr w:rsidR="00D561FF" w:rsidTr="00D56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993" w:type="dxa"/>
        </w:trPr>
        <w:tc>
          <w:tcPr>
            <w:tcW w:w="4219" w:type="dxa"/>
            <w:gridSpan w:val="2"/>
          </w:tcPr>
          <w:p w:rsidR="00D561FF" w:rsidRDefault="00D561FF" w:rsidP="000575DC">
            <w:pPr>
              <w:rPr>
                <w:rFonts w:asciiTheme="minorHAnsi" w:hAnsiTheme="minorHAnsi" w:cs="Arial"/>
                <w:noProof/>
                <w:sz w:val="24"/>
                <w:szCs w:val="24"/>
              </w:rPr>
            </w:pPr>
          </w:p>
          <w:p w:rsidR="00D561FF" w:rsidRDefault="00D561FF" w:rsidP="000575DC">
            <w:pPr>
              <w:rPr>
                <w:rFonts w:asciiTheme="minorHAnsi" w:hAnsiTheme="minorHAnsi" w:cs="Arial"/>
                <w:noProof/>
                <w:sz w:val="24"/>
                <w:szCs w:val="24"/>
              </w:rPr>
            </w:pPr>
          </w:p>
          <w:p w:rsidR="00D561FF" w:rsidRPr="00D561FF" w:rsidRDefault="00D561FF" w:rsidP="000575DC">
            <w:pPr>
              <w:rPr>
                <w:rFonts w:asciiTheme="minorHAnsi" w:hAnsiTheme="minorHAnsi" w:cs="Arial"/>
                <w:noProof/>
                <w:sz w:val="16"/>
                <w:szCs w:val="16"/>
              </w:rPr>
            </w:pPr>
          </w:p>
          <w:p w:rsidR="00D561FF" w:rsidRDefault="00D561FF" w:rsidP="000575DC">
            <w:pPr>
              <w:rPr>
                <w:rFonts w:asciiTheme="minorHAnsi" w:hAnsiTheme="minorHAnsi" w:cs="Arial"/>
                <w:noProof/>
                <w:sz w:val="24"/>
                <w:szCs w:val="24"/>
              </w:rPr>
            </w:pPr>
            <w:r>
              <w:rPr>
                <w:rFonts w:asciiTheme="minorHAnsi" w:hAnsiTheme="minorHAnsi" w:cs="Arial"/>
                <w:noProof/>
                <w:sz w:val="16"/>
                <w:szCs w:val="16"/>
                <w:lang w:val="fr-BE"/>
              </w:rPr>
              <w:t>Signature</w:t>
            </w:r>
          </w:p>
        </w:tc>
      </w:tr>
      <w:tr w:rsidR="00D561FF" w:rsidTr="00D56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D561FF" w:rsidRPr="00D561FF" w:rsidRDefault="00D561FF" w:rsidP="00D561FF">
            <w:pPr>
              <w:jc w:val="right"/>
              <w:rPr>
                <w:rFonts w:asciiTheme="minorHAnsi" w:hAnsiTheme="minorHAnsi" w:cs="Arial"/>
                <w:noProof/>
                <w:color w:val="FFFFFF" w:themeColor="background1"/>
                <w:sz w:val="24"/>
                <w:szCs w:val="24"/>
              </w:rPr>
            </w:pPr>
            <w:r>
              <w:rPr>
                <w:rFonts w:asciiTheme="minorHAnsi" w:hAnsiTheme="minorHAnsi" w:cs="Arial"/>
                <w:noProof/>
                <w:color w:val="FFFFFF" w:themeColor="background1"/>
                <w:sz w:val="16"/>
                <w:szCs w:val="16"/>
                <w:lang w:val="fr-BE"/>
              </w:rPr>
              <w:t>Nom de l'entreprise :</w:t>
            </w:r>
          </w:p>
        </w:tc>
        <w:tc>
          <w:tcPr>
            <w:tcW w:w="4993" w:type="dxa"/>
            <w:gridSpan w:val="2"/>
            <w:tcBorders>
              <w:left w:val="single" w:sz="4" w:space="0" w:color="4F6228" w:themeColor="accent3" w:themeShade="80"/>
            </w:tcBorders>
          </w:tcPr>
          <w:p w:rsidR="00D561FF" w:rsidRDefault="00D561FF" w:rsidP="000575DC">
            <w:pPr>
              <w:rPr>
                <w:rFonts w:asciiTheme="minorHAnsi" w:hAnsiTheme="minorHAnsi" w:cs="Arial"/>
                <w:noProof/>
                <w:sz w:val="24"/>
                <w:szCs w:val="24"/>
              </w:rPr>
            </w:pPr>
          </w:p>
        </w:tc>
      </w:tr>
      <w:tr w:rsidR="00D561FF" w:rsidTr="00D56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D561FF" w:rsidRPr="00D561FF" w:rsidRDefault="00D561FF" w:rsidP="00D561FF">
            <w:pPr>
              <w:jc w:val="right"/>
              <w:rPr>
                <w:rFonts w:asciiTheme="minorHAnsi" w:hAnsiTheme="minorHAnsi" w:cs="Arial"/>
                <w:noProof/>
                <w:color w:val="FFFFFF" w:themeColor="background1"/>
                <w:sz w:val="16"/>
                <w:szCs w:val="16"/>
              </w:rPr>
            </w:pPr>
            <w:r>
              <w:rPr>
                <w:rFonts w:asciiTheme="minorHAnsi" w:hAnsiTheme="minorHAnsi" w:cs="Arial"/>
                <w:noProof/>
                <w:color w:val="FFFFFF" w:themeColor="background1"/>
                <w:sz w:val="16"/>
                <w:szCs w:val="16"/>
                <w:lang w:val="fr-BE"/>
              </w:rPr>
              <w:t>Nom</w:t>
            </w:r>
          </w:p>
        </w:tc>
        <w:tc>
          <w:tcPr>
            <w:tcW w:w="4993" w:type="dxa"/>
            <w:gridSpan w:val="2"/>
            <w:tcBorders>
              <w:left w:val="single" w:sz="4" w:space="0" w:color="4F6228" w:themeColor="accent3" w:themeShade="80"/>
            </w:tcBorders>
          </w:tcPr>
          <w:p w:rsidR="00D561FF" w:rsidRDefault="00D561FF" w:rsidP="000575DC">
            <w:pPr>
              <w:rPr>
                <w:rFonts w:asciiTheme="minorHAnsi" w:hAnsiTheme="minorHAnsi" w:cs="Arial"/>
                <w:noProof/>
                <w:sz w:val="24"/>
                <w:szCs w:val="24"/>
              </w:rPr>
            </w:pPr>
          </w:p>
        </w:tc>
      </w:tr>
    </w:tbl>
    <w:p w:rsidR="00D561FF" w:rsidRPr="00204AEE" w:rsidRDefault="00D561FF" w:rsidP="00DA2694">
      <w:pPr>
        <w:rPr>
          <w:rFonts w:asciiTheme="minorHAnsi" w:hAnsiTheme="minorHAnsi" w:cs="Arial"/>
          <w:noProof/>
          <w:sz w:val="16"/>
          <w:szCs w:val="16"/>
        </w:rPr>
      </w:pPr>
    </w:p>
    <w:sectPr w:rsidR="00D561FF" w:rsidRPr="00204AEE" w:rsidSect="00B93AB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DB4" w:rsidRDefault="00613DB4" w:rsidP="00C844C2">
      <w:pPr>
        <w:spacing w:after="0"/>
      </w:pPr>
      <w:r>
        <w:separator/>
      </w:r>
    </w:p>
  </w:endnote>
  <w:endnote w:type="continuationSeparator" w:id="0">
    <w:p w:rsidR="00613DB4" w:rsidRDefault="00613DB4" w:rsidP="00C844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DB4" w:rsidRDefault="00613DB4" w:rsidP="00C844C2">
      <w:pPr>
        <w:spacing w:after="0"/>
      </w:pPr>
      <w:r>
        <w:separator/>
      </w:r>
    </w:p>
  </w:footnote>
  <w:footnote w:type="continuationSeparator" w:id="0">
    <w:p w:rsidR="00613DB4" w:rsidRDefault="00613DB4" w:rsidP="00C844C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C2" w:rsidRDefault="00C844C2">
    <w:pPr>
      <w:pStyle w:val="Koptekst"/>
    </w:pPr>
    <w:r>
      <w:rPr>
        <w:lang w:val="fr-BE"/>
      </w:rPr>
      <w:t xml:space="preserve">                           </w:t>
    </w:r>
    <w:r w:rsidR="004B7560">
      <w:rPr>
        <w:lang w:val="fr-BE"/>
      </w:rPr>
      <w:t xml:space="preserve">                                                                                        </w:t>
    </w:r>
    <w:r>
      <w:rPr>
        <w:lang w:val="fr-BE"/>
      </w:rPr>
      <w:t xml:space="preserve">    </w:t>
    </w:r>
    <w:r w:rsidR="004B7560">
      <w:rPr>
        <w:noProof/>
        <w:lang w:eastAsia="nl-NL"/>
      </w:rPr>
      <w:drawing>
        <wp:inline distT="0" distB="0" distL="0" distR="0" wp14:anchorId="4171ABCF" wp14:editId="40D8EFCD">
          <wp:extent cx="1965325" cy="800100"/>
          <wp:effectExtent l="0" t="0" r="0" b="0"/>
          <wp:docPr id="23" name="Afbeelding 23" descr="C:\Users\Angelica\Dropbox\Stichting Duurzaam Repareren\België\Communicatie Belgie\Logo\DuoLogo_JPEG_.jpg"/>
          <wp:cNvGraphicFramePr/>
          <a:graphic xmlns:a="http://schemas.openxmlformats.org/drawingml/2006/main">
            <a:graphicData uri="http://schemas.openxmlformats.org/drawingml/2006/picture">
              <pic:pic xmlns:pic="http://schemas.openxmlformats.org/drawingml/2006/picture">
                <pic:nvPicPr>
                  <pic:cNvPr id="23" name="Afbeelding 23" descr="C:\Users\Angelica\Dropbox\Stichting Duurzaam Repareren\België\Communicatie Belgie\Logo\DuoLogo_JPEG_.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325" cy="800100"/>
                  </a:xfrm>
                  <a:prstGeom prst="rect">
                    <a:avLst/>
                  </a:prstGeom>
                  <a:noFill/>
                  <a:ln>
                    <a:noFill/>
                  </a:ln>
                </pic:spPr>
              </pic:pic>
            </a:graphicData>
          </a:graphic>
        </wp:inline>
      </w:drawing>
    </w:r>
    <w:r>
      <w:rPr>
        <w:lang w:val="fr-B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106CA"/>
    <w:multiLevelType w:val="hybridMultilevel"/>
    <w:tmpl w:val="2CA2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8A169C"/>
    <w:multiLevelType w:val="hybridMultilevel"/>
    <w:tmpl w:val="46BE44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D3C2A81"/>
    <w:multiLevelType w:val="hybridMultilevel"/>
    <w:tmpl w:val="97901B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5DC"/>
    <w:rsid w:val="00047F1D"/>
    <w:rsid w:val="00054015"/>
    <w:rsid w:val="000575DC"/>
    <w:rsid w:val="00204AEE"/>
    <w:rsid w:val="002F78A5"/>
    <w:rsid w:val="004B7560"/>
    <w:rsid w:val="004F2CC5"/>
    <w:rsid w:val="00580817"/>
    <w:rsid w:val="00613DB4"/>
    <w:rsid w:val="006A435C"/>
    <w:rsid w:val="006C05E4"/>
    <w:rsid w:val="00752E71"/>
    <w:rsid w:val="007E05EA"/>
    <w:rsid w:val="00832ED9"/>
    <w:rsid w:val="009E1411"/>
    <w:rsid w:val="00B83A25"/>
    <w:rsid w:val="00B93AB1"/>
    <w:rsid w:val="00BF2361"/>
    <w:rsid w:val="00C53869"/>
    <w:rsid w:val="00C844C2"/>
    <w:rsid w:val="00C962F0"/>
    <w:rsid w:val="00D561FF"/>
    <w:rsid w:val="00DA2694"/>
    <w:rsid w:val="00EE6316"/>
    <w:rsid w:val="00EE7B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DB83E8-F79B-4835-826B-7B9C11AA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575DC"/>
    <w:pPr>
      <w:spacing w:line="240" w:lineRule="auto"/>
    </w:pPr>
    <w:rPr>
      <w:rFonts w:ascii="Calibri" w:eastAsia="Times New Roman"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uiPriority w:val="22"/>
    <w:qFormat/>
    <w:rsid w:val="000575DC"/>
    <w:rPr>
      <w:rFonts w:cs="Times New Roman"/>
      <w:b/>
      <w:bCs/>
    </w:rPr>
  </w:style>
  <w:style w:type="paragraph" w:styleId="Lijstalinea">
    <w:name w:val="List Paragraph"/>
    <w:basedOn w:val="Standaard"/>
    <w:uiPriority w:val="34"/>
    <w:qFormat/>
    <w:rsid w:val="000575DC"/>
    <w:pPr>
      <w:ind w:left="720"/>
      <w:contextualSpacing/>
    </w:pPr>
  </w:style>
  <w:style w:type="paragraph" w:styleId="Ballontekst">
    <w:name w:val="Balloon Text"/>
    <w:basedOn w:val="Standaard"/>
    <w:link w:val="BallontekstChar"/>
    <w:uiPriority w:val="99"/>
    <w:semiHidden/>
    <w:unhideWhenUsed/>
    <w:rsid w:val="00204AEE"/>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4AEE"/>
    <w:rPr>
      <w:rFonts w:ascii="Tahoma" w:eastAsia="Times New Roman" w:hAnsi="Tahoma" w:cs="Tahoma"/>
      <w:sz w:val="16"/>
      <w:szCs w:val="16"/>
    </w:rPr>
  </w:style>
  <w:style w:type="table" w:styleId="Tabelraster">
    <w:name w:val="Table Grid"/>
    <w:basedOn w:val="Standaardtabel"/>
    <w:uiPriority w:val="59"/>
    <w:rsid w:val="00204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844C2"/>
    <w:pPr>
      <w:tabs>
        <w:tab w:val="center" w:pos="4536"/>
        <w:tab w:val="right" w:pos="9072"/>
      </w:tabs>
      <w:spacing w:after="0"/>
    </w:pPr>
  </w:style>
  <w:style w:type="character" w:customStyle="1" w:styleId="KoptekstChar">
    <w:name w:val="Koptekst Char"/>
    <w:basedOn w:val="Standaardalinea-lettertype"/>
    <w:link w:val="Koptekst"/>
    <w:uiPriority w:val="99"/>
    <w:rsid w:val="00C844C2"/>
    <w:rPr>
      <w:rFonts w:ascii="Calibri" w:eastAsia="Times New Roman" w:hAnsi="Calibri" w:cs="Times New Roman"/>
    </w:rPr>
  </w:style>
  <w:style w:type="paragraph" w:styleId="Voettekst">
    <w:name w:val="footer"/>
    <w:basedOn w:val="Standaard"/>
    <w:link w:val="VoettekstChar"/>
    <w:uiPriority w:val="99"/>
    <w:unhideWhenUsed/>
    <w:rsid w:val="00C844C2"/>
    <w:pPr>
      <w:tabs>
        <w:tab w:val="center" w:pos="4536"/>
        <w:tab w:val="right" w:pos="9072"/>
      </w:tabs>
      <w:spacing w:after="0"/>
    </w:pPr>
  </w:style>
  <w:style w:type="character" w:customStyle="1" w:styleId="VoettekstChar">
    <w:name w:val="Voettekst Char"/>
    <w:basedOn w:val="Standaardalinea-lettertype"/>
    <w:link w:val="Voettekst"/>
    <w:uiPriority w:val="99"/>
    <w:rsid w:val="00C844C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1848</Characters>
  <Application>Microsoft Office Word</Application>
  <DocSecurity>0</DocSecurity>
  <PresentationFormat/>
  <Lines>15</Lines>
  <Paragraphs>4</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
    </vt:vector>
  </TitlesOfParts>
  <Company>WK Automotive BV</Company>
  <LinksUpToDate>false</LinksUpToDate>
  <CharactersWithSpaces>2180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dc:creator>
  <dc:description>info@wkautomotive.com_x000d_
http://www.wkautomotive.com</dc:description>
  <cp:lastModifiedBy>administratie</cp:lastModifiedBy>
  <cp:revision>4</cp:revision>
  <cp:lastPrinted>2013-09-26T07:39:00Z</cp:lastPrinted>
  <dcterms:created xsi:type="dcterms:W3CDTF">2016-12-28T13:30:00Z</dcterms:created>
  <dcterms:modified xsi:type="dcterms:W3CDTF">2016-12-28T13:37:00Z</dcterms:modified>
</cp:coreProperties>
</file>